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5E" w:rsidRPr="00A20AA5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A20AA5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A20AA5" w:rsidRDefault="00647C5E" w:rsidP="00647C5E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>Lp</w:t>
      </w:r>
      <w:r w:rsidR="00C0474F"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: </w:t>
      </w:r>
      <w:r w:rsidR="00D36B13"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>1</w:t>
      </w:r>
      <w:r w:rsidR="00C0474F"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>6</w:t>
      </w:r>
    </w:p>
    <w:p w:rsidR="00647C5E" w:rsidRPr="00A20AA5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D36B13"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>: 4</w:t>
      </w:r>
    </w:p>
    <w:p w:rsidR="00647C5E" w:rsidRPr="00A20AA5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Nazwa: </w:t>
      </w:r>
      <w:r w:rsidR="00D36B13" w:rsidRPr="00A20AA5">
        <w:rPr>
          <w:rFonts w:ascii="Arial Narrow" w:eastAsia="ArialMT" w:hAnsi="Arial Narrow"/>
          <w:b/>
          <w:bCs/>
          <w:sz w:val="20"/>
          <w:szCs w:val="20"/>
          <w:lang w:eastAsia="ar-SA"/>
        </w:rPr>
        <w:t>Pompa infuzyjna</w:t>
      </w:r>
    </w:p>
    <w:p w:rsidR="00647C5E" w:rsidRPr="00A20AA5" w:rsidRDefault="00D36B13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 w:rsidRPr="00A20AA5">
        <w:rPr>
          <w:rFonts w:ascii="Arial Narrow" w:hAnsi="Arial Narrow"/>
          <w:b/>
          <w:iCs/>
          <w:sz w:val="20"/>
          <w:szCs w:val="20"/>
          <w:lang w:eastAsia="ar-SA"/>
        </w:rPr>
        <w:t>Ilość: 28</w:t>
      </w:r>
      <w:r w:rsidR="00647C5E" w:rsidRPr="00A20AA5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A20AA5" w:rsidRDefault="00647C5E" w:rsidP="00647C5E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ar-SA"/>
        </w:rPr>
      </w:pPr>
    </w:p>
    <w:p w:rsidR="00647C5E" w:rsidRPr="00A20AA5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20AA5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A20AA5">
        <w:rPr>
          <w:rFonts w:ascii="Arial Narrow" w:eastAsia="Calibri" w:hAnsi="Arial Narrow"/>
          <w:sz w:val="20"/>
          <w:szCs w:val="20"/>
          <w:lang w:eastAsia="en-US"/>
        </w:rPr>
        <w:tab/>
      </w:r>
      <w:r w:rsidRPr="00A20AA5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A20AA5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A20AA5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A20AA5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A20AA5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A20AA5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/>
      </w:tblPr>
      <w:tblGrid>
        <w:gridCol w:w="567"/>
        <w:gridCol w:w="5211"/>
        <w:gridCol w:w="3222"/>
      </w:tblGrid>
      <w:tr w:rsidR="00CC336E" w:rsidRPr="00A20AA5" w:rsidTr="00C10BE3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A20AA5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A20AA5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A20AA5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A20AA5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C0474F" w:rsidRPr="00A20AA5" w:rsidTr="00C10BE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0474F" w:rsidRPr="00A20AA5" w:rsidRDefault="00C0474F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F" w:rsidRPr="00A20AA5" w:rsidRDefault="00D36B13" w:rsidP="0071124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0AA5">
              <w:rPr>
                <w:rFonts w:ascii="Arial Narrow" w:hAnsi="Arial Narrow"/>
                <w:color w:val="000000"/>
                <w:sz w:val="20"/>
                <w:szCs w:val="20"/>
              </w:rPr>
              <w:t>Zestaw składający się z 28 pomp strzykawkowych, 4 pomp objętościowych, oprogramowania oraz 4 stacji dokujących na 8 pomp każda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F" w:rsidRPr="00A20AA5" w:rsidRDefault="00C0474F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D7708C">
        <w:trPr>
          <w:cantSplit/>
        </w:trPr>
        <w:tc>
          <w:tcPr>
            <w:tcW w:w="90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Pompy strzykawkowe</w:t>
            </w: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>Spełnia wymagania „CE”, nr certyfikatu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>Zasilanie sieciowe zgodne z warunkami obowiązującymi w Polsce, AC 230 V 50 Hz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Klasa ochronności zgodnie z IEC/EN60601-1 : Klasa II, typ CF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sz w:val="20"/>
                <w:szCs w:val="20"/>
              </w:rPr>
              <w:t>Wymagania podstawowe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Pompa strzykawkowa do podawania dożylnego, dotętniczego  sterowana elektronicznie umożliwiająca współpracę z systemem centralnego zasilania i zarządzania danymi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Zasilanie z akumulatora wewnętrznego min 10 godz. przy przepływie 5 ml/godz.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Masa pompy wraz z zaciskiem umożliwiającym mocowanie na stojaku lub szynie maksymalnie 2,2 kg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Możliwość mocowania pompy do rury pionowej przy pomocy elementu na stałe wbudowanego w pompę.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Możliwość mocowania pompy do szyny poziomej przy pomocy elementu na stałe wbudowanego w pompę.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Zatrzaskowe mocowanie pompy do oferowanej stacji dokującej wraz z umieszczonym na pompie uchwytem mocującym do stojaka lub szyny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pacing w:val="2"/>
                <w:sz w:val="20"/>
                <w:szCs w:val="20"/>
              </w:rPr>
              <w:t>Automatyczne podłączenie zasilania po umieszczeniu pompy w oferowanej stacji dokującej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/>
                <w:spacing w:val="2"/>
                <w:sz w:val="20"/>
                <w:szCs w:val="20"/>
              </w:rPr>
              <w:t>Mocowanie strzykawki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2"/>
                <w:sz w:val="20"/>
                <w:szCs w:val="20"/>
              </w:rPr>
              <w:t>Mocowanie strzykawki do czoła pompy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2"/>
                <w:sz w:val="20"/>
                <w:szCs w:val="20"/>
              </w:rPr>
              <w:t>Pełne mocowanie strzykawki możliwe za równo przy włączonej jak i wyłączonej pompie – system obsługiwany całkowicie manualnie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1"/>
                <w:sz w:val="20"/>
                <w:szCs w:val="20"/>
              </w:rPr>
              <w:t xml:space="preserve">Pompa skalibrowana do pracy ze strzykawkami o objętości 5, 10, 20, </w:t>
            </w: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30/35 </w:t>
            </w:r>
            <w:r w:rsidRPr="00A20AA5">
              <w:rPr>
                <w:rFonts w:ascii="Arial Narrow" w:eastAsia="Batang" w:hAnsi="Arial Narrow"/>
                <w:color w:val="000000"/>
                <w:spacing w:val="1"/>
                <w:sz w:val="20"/>
                <w:szCs w:val="20"/>
              </w:rPr>
              <w:t xml:space="preserve"> i 50/60 ml różnych typów oraz różnych producentów (</w:t>
            </w: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>minimum 4 producentów strzykawek dostępnych na rynku polskim)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pacing w:val="2"/>
                <w:sz w:val="20"/>
                <w:szCs w:val="20"/>
              </w:rPr>
              <w:t>Mechanizm blokujący tłok zapobiegający samoczynnemu opróżnianiu strzykawki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2"/>
                <w:sz w:val="20"/>
                <w:szCs w:val="20"/>
              </w:rPr>
              <w:t>Automatyczna funkcja antybolus po okluzji – z</w:t>
            </w:r>
            <w:r w:rsidRPr="00A20AA5">
              <w:rPr>
                <w:rFonts w:ascii="Arial Narrow" w:eastAsia="Batang" w:hAnsi="Arial Narrow"/>
                <w:color w:val="000000"/>
                <w:spacing w:val="1"/>
                <w:sz w:val="20"/>
                <w:szCs w:val="20"/>
              </w:rPr>
              <w:t xml:space="preserve">abezpieczenie przed podaniem </w:t>
            </w: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niekontrolowanego bolusa po alarmie okluzji, </w:t>
            </w:r>
            <w:r w:rsidRPr="00A20AA5">
              <w:rPr>
                <w:rFonts w:ascii="Arial Narrow" w:eastAsia="Batang" w:hAnsi="Arial Narrow"/>
                <w:sz w:val="20"/>
                <w:szCs w:val="20"/>
              </w:rPr>
              <w:t>ograniczenie bolusa &lt; 0,2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/>
                <w:color w:val="000000"/>
                <w:spacing w:val="2"/>
                <w:sz w:val="20"/>
                <w:szCs w:val="20"/>
              </w:rPr>
              <w:t>Programowanie infuzji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Zakres szybkości infuzji przynajmniej  0,1 – 1200 ml/godz.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Funkcja programowania infuzji co 0,01 w zakresie min. 0,1 – 9,99 ml/godz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Zmiana szybkości infuzji bez konieczności przerywania wlewu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Możliwość programowania infuzji w jednostkach masy: ng, μg, mg, U, kU, mmol, mol, Kmol, </w:t>
            </w:r>
            <w:r w:rsidRPr="00A20AA5">
              <w:rPr>
                <w:rFonts w:ascii="Arial Narrow" w:hAnsi="Arial Narrow"/>
                <w:sz w:val="20"/>
                <w:szCs w:val="20"/>
              </w:rPr>
              <w:t xml:space="preserve">cal i kcal – </w:t>
            </w: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 na kg masy ciała pacjenta lub nie, na czas (na 24godziny, godzinę oraz minutę).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Bolus podawany na żądanie bez konieczności wstrzymywania trwającej infuzji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eastAsia="Batang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Dwa rodzaje bolusa:</w:t>
            </w:r>
          </w:p>
          <w:p w:rsidR="00D36B13" w:rsidRPr="00A20AA5" w:rsidRDefault="00D36B13" w:rsidP="00D36B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292"/>
              <w:rPr>
                <w:rFonts w:ascii="Arial Narrow" w:eastAsia="Batang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Ręczny - szybkości podaży 50 – 1200 ml/h</w:t>
            </w:r>
          </w:p>
          <w:p w:rsidR="00D36B13" w:rsidRPr="00A20AA5" w:rsidRDefault="00D36B13" w:rsidP="00D36B13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ind w:left="292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Programowany - dawka lub objętość/czas: 0,1-99,9 jednostek / 0,1  - 1200 ml, automatyczne wyliczenie czasu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Dokładność mechanizmu pompy +/- 1%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Funkcja programowania objętości do podania (VTBD) 0,1- 999,9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Funkcja programowania czasu infuzji przynajmniej od 1min – 96 godzin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Ciągły pomiar ciśnienia w linii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Ustawianie poziomu ciśnienia okluzji – przynajmniej 20 poziomów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Funkcja KVO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Zróżnicowana prędkość KVO z możliwością programowania szybkości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Funkcja – przerwa (standby) w zakresie od 1min do 24 godz.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/>
                <w:sz w:val="20"/>
                <w:szCs w:val="20"/>
              </w:rPr>
              <w:t>Panel sterowania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Specjalny sposób wyświetlania parametrów dostosowany do pracy przy słabym oświetleniu (tzw. Tryb nocny)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Wskaźnik pracy pompy widoczne z min.5 metrów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Klawiatura symboliczna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Komunikaty tekstowe w języku polskim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Funkcja wyświetlania trendów objętości, szybkości infuzji oraz ciśnienia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Wbudowana w pompę możliwość dopasowana ekranu głównego oraz zawartości menu do potrzeb oddziału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/>
                <w:sz w:val="20"/>
                <w:szCs w:val="20"/>
              </w:rPr>
              <w:t>Układ alarmów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spacing w:line="230" w:lineRule="exact"/>
              <w:ind w:right="-65" w:firstLine="5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>Akustyczno-</w:t>
            </w:r>
            <w:r w:rsidRPr="00A20AA5">
              <w:rPr>
                <w:rFonts w:ascii="Arial Narrow" w:eastAsia="Batang" w:hAnsi="Arial Narrow"/>
                <w:color w:val="000000"/>
                <w:spacing w:val="-2"/>
                <w:sz w:val="20"/>
                <w:szCs w:val="20"/>
              </w:rPr>
              <w:t>optyczny</w:t>
            </w: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 xml:space="preserve"> system alarmów i ostrzeżeń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spacing w:line="230" w:lineRule="exact"/>
              <w:ind w:right="-65" w:firstLine="5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Alarm pustej strzykawki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rPr>
                <w:rFonts w:ascii="Arial Narrow" w:eastAsia="Batang" w:hAnsi="Arial Narrow"/>
                <w:color w:val="000000"/>
                <w:spacing w:val="-2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-2"/>
                <w:sz w:val="20"/>
                <w:szCs w:val="20"/>
              </w:rPr>
              <w:t>Alarm przypominający</w:t>
            </w:r>
          </w:p>
          <w:p w:rsidR="00D36B13" w:rsidRPr="00A20AA5" w:rsidRDefault="00D36B13" w:rsidP="0071124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-2"/>
                <w:sz w:val="20"/>
                <w:szCs w:val="20"/>
              </w:rPr>
              <w:t>–zatrzymana infuzja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spacing w:line="226" w:lineRule="exact"/>
              <w:ind w:right="-65" w:firstLine="5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-1"/>
                <w:sz w:val="20"/>
                <w:szCs w:val="20"/>
              </w:rPr>
              <w:t>Alarm okluzji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-1"/>
                <w:sz w:val="20"/>
                <w:szCs w:val="20"/>
              </w:rPr>
              <w:t>Alarm rozłączenia linii – spadku ciśnienia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pacing w:val="-1"/>
                <w:sz w:val="20"/>
                <w:szCs w:val="20"/>
              </w:rPr>
              <w:t>Alarm rozładowanego akumulatora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Alarm wstępny </w:t>
            </w: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>zbliżającego się rozładowania akumulatora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>Alarm braku lub źle założonej strzykawki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Alarm otwartego uchwytu komory strzykawki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color w:val="000000"/>
                <w:sz w:val="20"/>
                <w:szCs w:val="20"/>
              </w:rPr>
              <w:t>Alarm informujący o uszkodzeniu sprzętu.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Alarm wstępny przed opróżnieniem strzykawki.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Alarm wstępny przed końcem infuzji.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/>
                <w:sz w:val="20"/>
                <w:szCs w:val="20"/>
              </w:rPr>
              <w:t>Pozostałe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eastAsia="Batang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Instrukcja obsługi w języku polskim</w:t>
            </w:r>
          </w:p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( z dostawą)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pStyle w:val="Nagwek3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 w:val="0"/>
                <w:sz w:val="20"/>
                <w:szCs w:val="20"/>
              </w:rPr>
              <w:t>Port komunikacji RS232, USB, Ethernet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pStyle w:val="Nagwek3"/>
              <w:rPr>
                <w:rFonts w:ascii="Arial Narrow" w:eastAsia="Batang" w:hAnsi="Arial Narrow"/>
                <w:b w:val="0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 w:val="0"/>
                <w:sz w:val="20"/>
                <w:szCs w:val="20"/>
              </w:rPr>
              <w:t>Możliwość transmisji danych</w:t>
            </w:r>
          </w:p>
          <w:p w:rsidR="00D36B13" w:rsidRPr="00A20AA5" w:rsidRDefault="00D36B13" w:rsidP="00711247">
            <w:pPr>
              <w:pStyle w:val="Nagwek3"/>
              <w:rPr>
                <w:rFonts w:ascii="Arial Narrow" w:eastAsia="Batang" w:hAnsi="Arial Narrow"/>
                <w:b w:val="0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 w:val="0"/>
                <w:sz w:val="20"/>
                <w:szCs w:val="20"/>
              </w:rPr>
              <w:t>z pompy, możliwość połączenia w sieć</w:t>
            </w:r>
          </w:p>
          <w:p w:rsidR="00D36B13" w:rsidRPr="00A20AA5" w:rsidRDefault="00D36B13" w:rsidP="00711247">
            <w:pPr>
              <w:pStyle w:val="Nagwek3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 w:val="0"/>
                <w:sz w:val="20"/>
                <w:szCs w:val="20"/>
              </w:rPr>
              <w:t>z komputerem centralnym samodzielnie lub przez stację dokującą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23558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pStyle w:val="Nagwek3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b w:val="0"/>
                <w:sz w:val="20"/>
                <w:szCs w:val="20"/>
              </w:rPr>
              <w:t>Możliwość łączenia pomp w moduły po 2 szt. Zasilane jednym przewodem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E24A37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sz w:val="20"/>
                <w:szCs w:val="20"/>
              </w:rPr>
              <w:t>STACJA DOKUJĄCA</w:t>
            </w: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sz w:val="20"/>
                <w:szCs w:val="20"/>
              </w:rPr>
              <w:t>Ogólne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>Spełnia wymagania „CE”, nr certyfikatu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>Zasilanie sieciowe zgodne z warunkami obowiązującymi w Polsce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Ochrona przed wilgocią wg EN 6060529 min IP 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sz w:val="20"/>
                <w:szCs w:val="20"/>
              </w:rPr>
              <w:t>Wymagania podstawowe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Stacja dokująca pozwalająca na jednoczesne zasilanie 8 oferowanych pomp strzykawkowych i objętościowych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Zatrzaskowe mocowanie oferowanych pomp w stacji </w:t>
            </w:r>
            <w:r w:rsidRPr="00A20AA5">
              <w:rPr>
                <w:rFonts w:ascii="Arial Narrow" w:hAnsi="Arial Narrow"/>
                <w:sz w:val="20"/>
                <w:szCs w:val="20"/>
              </w:rPr>
              <w:t>dokującej wraz z umieszczonym na pompie uchwytem mocującym do stojaka lub szyny oraz uchwytem transportowym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Dowolna zmiana miejsca pomp strzykawkowych i objętościowych w stacji bez konieczności wyjmowania innych pomp – możliwość niezależnego umieszczania i wyjmowania pomp w i z stacji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eastAsia="Batang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 xml:space="preserve">Zasilanie pomp ze stacji dokującej </w:t>
            </w:r>
          </w:p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– automatyczne podłączenie zasilania po umieszczeniu pompy w stacji.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Złącze na podczerwień umożliwiające przesył danych z pomp infuzyjnych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6B13" w:rsidRPr="00A20AA5" w:rsidTr="0014410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3" w:rsidRPr="00A20AA5" w:rsidRDefault="00D36B13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Masa stacji dokującej maksymalnie 6,5 kg bez stojaka.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13" w:rsidRPr="00A20AA5" w:rsidRDefault="00D36B13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A20AA5" w:rsidTr="00D769FA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sz w:val="20"/>
                <w:szCs w:val="20"/>
              </w:rPr>
              <w:t>OPROGRAMOWANIE UMOŻLIWIAJĄCE PODGLĄD PRACY POMP</w:t>
            </w:r>
          </w:p>
        </w:tc>
      </w:tr>
      <w:tr w:rsidR="00A20AA5" w:rsidRPr="00A20AA5" w:rsidTr="00A06D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>Licencja dożywotnia na oprogramowanie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A20AA5" w:rsidTr="00A06D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>Oprogramowanie zawierające wizualny system alarmów i ostrzeżeń pracy pomp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A20AA5" w:rsidTr="00A06D0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5D7E2C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hAnsi="Arial Narrow"/>
                <w:sz w:val="20"/>
                <w:szCs w:val="20"/>
              </w:rPr>
              <w:t xml:space="preserve">Dostawa oprogramowania najpóźniej do końca </w:t>
            </w:r>
            <w:r w:rsidR="005D7E2C">
              <w:rPr>
                <w:rFonts w:ascii="Arial Narrow" w:hAnsi="Arial Narrow"/>
                <w:sz w:val="20"/>
                <w:szCs w:val="20"/>
              </w:rPr>
              <w:t>2019 r.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A20AA5" w:rsidTr="00002986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0AA5">
              <w:rPr>
                <w:rFonts w:ascii="Arial Narrow" w:hAnsi="Arial Narrow"/>
                <w:b/>
                <w:sz w:val="20"/>
                <w:szCs w:val="20"/>
              </w:rPr>
              <w:t>WYMAGANIA DODATKOWE DLA CAŁEGO ZESTAWU</w:t>
            </w:r>
          </w:p>
        </w:tc>
      </w:tr>
      <w:tr w:rsidR="00A20AA5" w:rsidRPr="00A20AA5" w:rsidTr="00AC25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Gwarancja 36 miesięcy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A20AA5" w:rsidTr="00AC25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A5" w:rsidRPr="00A20AA5" w:rsidRDefault="00A20AA5" w:rsidP="00711247">
            <w:pPr>
              <w:rPr>
                <w:rFonts w:ascii="Arial Narrow" w:hAnsi="Arial Narrow"/>
                <w:sz w:val="20"/>
                <w:szCs w:val="20"/>
              </w:rPr>
            </w:pPr>
            <w:r w:rsidRPr="00A20AA5">
              <w:rPr>
                <w:rFonts w:ascii="Arial Narrow" w:eastAsia="Batang" w:hAnsi="Arial Narrow"/>
                <w:sz w:val="20"/>
                <w:szCs w:val="20"/>
              </w:rPr>
              <w:t>Szkolenie personelu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5" w:rsidRPr="00A20AA5" w:rsidRDefault="00A20AA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Pr="00A20AA5" w:rsidRDefault="00433BB9">
      <w:pPr>
        <w:rPr>
          <w:rFonts w:ascii="Arial Narrow" w:hAnsi="Arial Narrow"/>
          <w:sz w:val="20"/>
          <w:szCs w:val="20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A20AA5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A20AA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A20AA5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p w:rsidR="00647C5E" w:rsidRPr="00A20AA5" w:rsidRDefault="00647C5E">
      <w:pPr>
        <w:rPr>
          <w:rFonts w:ascii="Arial Narrow" w:hAnsi="Arial Narrow"/>
          <w:sz w:val="20"/>
          <w:szCs w:val="20"/>
        </w:rPr>
      </w:pPr>
    </w:p>
    <w:sectPr w:rsidR="00647C5E" w:rsidRPr="00A20AA5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cs="Symbol" w:hint="default"/>
        <w:sz w:val="16"/>
        <w:szCs w:val="22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561"/>
    <w:rsid w:val="003A372D"/>
    <w:rsid w:val="00433BB9"/>
    <w:rsid w:val="005D7E2C"/>
    <w:rsid w:val="005F230F"/>
    <w:rsid w:val="00647C5E"/>
    <w:rsid w:val="007D2561"/>
    <w:rsid w:val="00926BD5"/>
    <w:rsid w:val="00A20AA5"/>
    <w:rsid w:val="00B94D74"/>
    <w:rsid w:val="00BF5081"/>
    <w:rsid w:val="00C0474F"/>
    <w:rsid w:val="00C10BE3"/>
    <w:rsid w:val="00CC336E"/>
    <w:rsid w:val="00CD7EFD"/>
    <w:rsid w:val="00D120BB"/>
    <w:rsid w:val="00D3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36B13"/>
    <w:pPr>
      <w:keepNext/>
      <w:numPr>
        <w:ilvl w:val="2"/>
        <w:numId w:val="3"/>
      </w:numPr>
      <w:suppressAutoHyphens/>
      <w:outlineLvl w:val="2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6B13"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 Zawiślak</cp:lastModifiedBy>
  <cp:revision>3</cp:revision>
  <dcterms:created xsi:type="dcterms:W3CDTF">2019-09-24T11:44:00Z</dcterms:created>
  <dcterms:modified xsi:type="dcterms:W3CDTF">2019-09-24T11:45:00Z</dcterms:modified>
</cp:coreProperties>
</file>